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7"/>
        <w:gridCol w:w="1738"/>
        <w:gridCol w:w="275"/>
        <w:gridCol w:w="218"/>
        <w:gridCol w:w="2900"/>
        <w:gridCol w:w="2693"/>
        <w:gridCol w:w="5075"/>
      </w:tblGrid>
      <w:tr w:rsidR="001567D1" w:rsidRPr="001567D1" w:rsidTr="001567D1">
        <w:trPr>
          <w:trHeight w:val="69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성분명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(영문)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성분명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(한글) 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상품명 예시 (한국)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약효 분류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비고 </w:t>
            </w:r>
          </w:p>
        </w:tc>
      </w:tr>
      <w:tr w:rsidR="001567D1" w:rsidRPr="001567D1" w:rsidTr="001567D1">
        <w:trPr>
          <w:trHeight w:val="108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telithromycin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텔리스로마이신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케텍정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마크로라이드계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macorolide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심한 폐렴 환자에게 사용할 수 있으며,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환자에 사용 시 치명적인 부작용을 일으킬 수 있다는 연구 보고가 있어 경고.</w:t>
            </w:r>
          </w:p>
        </w:tc>
      </w:tr>
      <w:tr w:rsidR="001567D1" w:rsidRPr="001567D1" w:rsidTr="001567D1">
        <w:trPr>
          <w:trHeight w:val="116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zithromax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지스로맥스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지스로맥스정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지스로맥스캅셀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지스로맥스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건조 시럽,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지스로맥스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주사 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마크로라이드계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macorolide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감염 질환에 쓰이는 항생제</w:t>
            </w:r>
          </w:p>
        </w:tc>
      </w:tr>
      <w:tr w:rsidR="001567D1" w:rsidRPr="001567D1" w:rsidTr="001567D1">
        <w:trPr>
          <w:trHeight w:val="68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ciprofloxacin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시프로플록사신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시프록신정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시플플록사신주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퀴놀론계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(quinolone)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감염 질환에 쓰이는 항생제</w:t>
            </w:r>
          </w:p>
        </w:tc>
      </w:tr>
      <w:tr w:rsidR="001567D1" w:rsidRPr="001567D1" w:rsidTr="001567D1">
        <w:trPr>
          <w:trHeight w:val="712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levofloxacin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레보플록사신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레프록신정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대웅레보플록사신정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레보록신정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퀴놀론계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(quinolone)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감염 질환에 쓰이는 항생제</w:t>
            </w:r>
          </w:p>
        </w:tc>
      </w:tr>
      <w:tr w:rsidR="001567D1" w:rsidRPr="001567D1" w:rsidTr="001567D1">
        <w:trPr>
          <w:trHeight w:val="611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norfloxacin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노르플록사신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노프록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퀴놀론계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(quinolone)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감염 질환에 쓰이는 항생제</w:t>
            </w:r>
          </w:p>
        </w:tc>
      </w:tr>
      <w:tr w:rsidR="001567D1" w:rsidRPr="001567D1" w:rsidTr="001567D1">
        <w:trPr>
          <w:trHeight w:val="691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ofloxacin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오플록사신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오플록사신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퀴놀론계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(quinolone)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감염 질환에 쓰이는 항생제</w:t>
            </w:r>
          </w:p>
        </w:tc>
      </w:tr>
      <w:tr w:rsidR="001567D1" w:rsidRPr="001567D1" w:rsidTr="001567D1">
        <w:trPr>
          <w:trHeight w:val="112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gentamycin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겐타마이신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겐타마이신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아미노글라이코사이드계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(aminoglycoside)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아미노글라이코사이드계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항생제 중에는 tobramycin이 가장 위험하지 않은 편이다.</w:t>
            </w:r>
          </w:p>
        </w:tc>
      </w:tr>
      <w:tr w:rsidR="001567D1" w:rsidRPr="001567D1" w:rsidTr="001567D1">
        <w:trPr>
          <w:trHeight w:val="972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neomycin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네오마이신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안티마이신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연고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아미노글라이코사이드계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(aminoglycoside) 항생제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아미노글라이코사이드계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항생제 중에는 tobramycin이 가장 위험하지 않은 편이다.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chloroquine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클로로퀸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말라클로정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항혐기성균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및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항원충제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말리리아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예방 및 치료약, 부작용으로 골격근육병증이나 신경근육병증 유발 가능</w:t>
            </w:r>
          </w:p>
        </w:tc>
      </w:tr>
      <w:tr w:rsidR="001567D1" w:rsidRPr="001567D1" w:rsidTr="001567D1">
        <w:trPr>
          <w:trHeight w:val="315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propranolol,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oxprenolol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labetalol,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nadolol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pindolol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sotalol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timolol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atenolol,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acebutolol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프로프라놀롤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옥스프레노롤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라베타롤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나돌올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핀돌롤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소타롤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티모롤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아네톨올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아세부톨올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인데놀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펙토리스정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베타신주사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나도가드정</w:t>
            </w:r>
            <w:proofErr w:type="spellEnd"/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소타론정</w:t>
            </w:r>
            <w:proofErr w:type="spellEnd"/>
            <w:proofErr w:type="gram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티마박점안액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아테놀롤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아세토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캅셀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베타 차단제 (beta-blockers)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베타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블로커는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고혈압, 심장병, 편두통, 수전증,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불안증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갑상선기능항진증에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자주 사용하는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약물군으로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이에 해당하는 약물들 중 일부는 근육에 존재하는 베타 수용체 (특히 베타2 수용체)를 억제하는 기능을 포함하므로,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악화시키고 매우 위험할 수 있다.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성분명이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주로 -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olol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로 끝납니다.)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티몰롤은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안약인데 때로는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악화 유발 가능하니 주의해야 합니다.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propafenone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프로파페논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프로페논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심장병 (불규칙한 심장 박동, 부정맥) 치료제,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중증근무력증에서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금기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verapamil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베라파밀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이솦틴서방정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칼슘 채널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길항제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고혈압, 심장병 치료제로, 신경근 전달 약화된 환자에서 신경근 전달 저하 시킴.</w:t>
            </w:r>
          </w:p>
        </w:tc>
      </w:tr>
      <w:tr w:rsidR="001567D1" w:rsidRPr="001567D1" w:rsidTr="001567D1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felodipine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펠로디핀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로지맥스서방정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칼슘 채널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길항제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고혈압, 협심증 치료제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nifedipine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니페디핀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아달라트연질캅셀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칼슘 채널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길항제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고혈압, 협심증 치료제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bretylium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브레틸륨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제이텍토실산브레틸륨주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항부정맥제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심장병 (불규칙한 심장 박동, 부정맥) 치료제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Procainamide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프로케인아미드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댄버리염산프로카인아미드정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항부정맥제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심장병 (불규칙한 심장 박동, 부정맥) 치료제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quinidine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퀴니딘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퀴니딘설페이트정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항부정맥제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심장병 (불규칙한 심장 박동, 부정맥) 치료제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acetazolamide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아세타졸아미드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아세타졸정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이뇨제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부종 치료제. </w:t>
            </w:r>
          </w:p>
        </w:tc>
      </w:tr>
      <w:tr w:rsidR="001567D1" w:rsidRPr="001567D1" w:rsidTr="001567D1">
        <w:trPr>
          <w:trHeight w:val="104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prednisone, prednisolone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프레드니손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프레드니솔론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로도트라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서방정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소론도정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부신피질호르몬제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(스테로이드)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스테로이드제는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환자 치료에 흔히 사용되는 약물이지만 치료 초기 일시적인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악화를 유발할 수 있으나 (2주) 그 이후에는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증상이 호전된다.  </w:t>
            </w:r>
          </w:p>
        </w:tc>
      </w:tr>
      <w:tr w:rsidR="001567D1" w:rsidRPr="001567D1" w:rsidTr="001567D1">
        <w:trPr>
          <w:trHeight w:val="519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interferon alpha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인터페론 알파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인트론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면역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조절제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D1" w:rsidRPr="001567D1" w:rsidTr="001567D1">
        <w:trPr>
          <w:trHeight w:val="1804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magnesium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마그네슘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산화마그네슘정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마그밀정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기타 위장관계 약물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속쓰림을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위한 제산제 또는 변비 치료제로 사용가능. 특히 신장 기능이 좋지 않거나,</w:t>
            </w:r>
            <w:r w:rsidRPr="001567D1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 xml:space="preserve"> </w:t>
            </w:r>
            <w:r w:rsidRPr="001567D1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u w:val="single"/>
              </w:rPr>
              <w:t xml:space="preserve">주사제로 투여 시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u w:val="single"/>
              </w:rPr>
              <w:t>근무력증에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u w:val="single"/>
              </w:rPr>
              <w:t xml:space="preserve"> 위험할 수 있다. </w:t>
            </w: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종합비타민제에 함유된 마그네슘의 양은 적은 양이므로 큰 문제가 안될 수 있다.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D-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penicillamine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페니실라민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알타민캡슐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해독제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요즘 자주 쓰이는 약은 아니지만</w:t>
            </w:r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중증근무력증</w:t>
            </w:r>
            <w:proofErr w:type="spellEnd"/>
            <w:proofErr w:type="gram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근부전마비를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유발 가능. </w:t>
            </w:r>
          </w:p>
        </w:tc>
      </w:tr>
      <w:tr w:rsidR="001567D1" w:rsidRPr="001567D1" w:rsidTr="001567D1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phenytoin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페니토인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페니토인정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항경련제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간질 치료제. </w:t>
            </w:r>
          </w:p>
        </w:tc>
      </w:tr>
      <w:tr w:rsidR="001567D1" w:rsidRPr="001567D1" w:rsidTr="001567D1">
        <w:trPr>
          <w:trHeight w:val="47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Botulinum toxin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보튤리늄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독소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보톡스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근이완제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D1" w:rsidRPr="001567D1" w:rsidTr="001567D1">
        <w:trPr>
          <w:trHeight w:val="242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atracurium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rocuronium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pancuronium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vecuronium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succinylcholine,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mivacurium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아트라쿠리움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로큐로늄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판크로늄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베큐로니윰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석시니콜린</w:t>
            </w:r>
            <w:proofErr w:type="spellEnd"/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미바큐리움</w:t>
            </w:r>
            <w:proofErr w:type="spellEnd"/>
            <w:proofErr w:type="gram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아트라주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로메론주사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파론 주사,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노큐론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</w:t>
            </w:r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석시콜린</w:t>
            </w:r>
            <w:proofErr w:type="spellEnd"/>
            <w:proofErr w:type="gram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미바크론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근이완제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주사용 근 이완제. 중증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금기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methocarbamol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메토카르바몰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파마메토카르바몰정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근이완제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먹는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근이완제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중증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근무력증에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금기 </w:t>
            </w:r>
          </w:p>
        </w:tc>
      </w:tr>
      <w:tr w:rsidR="001567D1" w:rsidRPr="001567D1" w:rsidTr="001567D1">
        <w:trPr>
          <w:trHeight w:val="123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enflurane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halothane, isoflurane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엔푸루란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할로탄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이소프루란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게로란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액,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일성할로탄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포란액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전신 마취제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수술 중 마취제</w:t>
            </w:r>
          </w:p>
        </w:tc>
      </w:tr>
      <w:tr w:rsidR="001567D1" w:rsidRPr="001567D1" w:rsidTr="001567D1">
        <w:trPr>
          <w:trHeight w:val="104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lidocaine, procaine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리도카인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프로카인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염산리도카인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주, 프로카인 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국소 마취제 (local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anaesthetics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국소 마취제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trihexyphenidyl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트리헥시페니딜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알탄정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항파키슨제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파키슨증후군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치료제,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중증근무력증에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금기 </w:t>
            </w:r>
          </w:p>
        </w:tc>
      </w:tr>
      <w:tr w:rsidR="001567D1" w:rsidRPr="001567D1" w:rsidTr="001567D1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amantadine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아만타딘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시메탄캅셀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항파키슨제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파키슨증후군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치료제</w:t>
            </w:r>
          </w:p>
        </w:tc>
      </w:tr>
      <w:tr w:rsidR="001567D1" w:rsidRPr="001567D1" w:rsidTr="001567D1">
        <w:trPr>
          <w:trHeight w:val="72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codein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코데인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코데인정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진해거담, 기침 감기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진통제. 심한 기침에 사용.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morphine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모르핀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염산모르핀 주,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황몰핀정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마약성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진통제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진통제. 심한 기침, 전신마취 보조에 사용 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hydromorphone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하이드로모르핀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딜리드정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마약성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진통제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진통제</w:t>
            </w:r>
          </w:p>
        </w:tc>
      </w:tr>
      <w:tr w:rsidR="001567D1" w:rsidRPr="001567D1" w:rsidTr="001567D1">
        <w:trPr>
          <w:trHeight w:val="69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fentanyl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펜타닐</w:t>
            </w:r>
            <w:proofErr w:type="spellEnd"/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펜타닐패취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펜타스패취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마약성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진통제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7D1" w:rsidRPr="001567D1" w:rsidTr="001567D1">
        <w:trPr>
          <w:trHeight w:val="564"/>
        </w:trPr>
        <w:tc>
          <w:tcPr>
            <w:tcW w:w="9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&lt;그 외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중증근무력증을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악화시킨다고 알려진 약물&gt;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567D1" w:rsidRPr="001567D1" w:rsidTr="001567D1">
        <w:trPr>
          <w:trHeight w:val="348"/>
        </w:trPr>
        <w:tc>
          <w:tcPr>
            <w:tcW w:w="14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* 정신신경계: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lithuim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리튬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chlorpromazine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클로르프로마진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promazine</w:t>
            </w:r>
            <w:proofErr w:type="spellEnd"/>
            <w:proofErr w:type="gram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(프로마진), amitriptyline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아미트립틸린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droperidol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드로페리돌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haloperidol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할로페리돌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imipramine 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이미프라민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1567D1" w:rsidRPr="001567D1" w:rsidTr="001567D1">
        <w:trPr>
          <w:trHeight w:val="348"/>
        </w:trPr>
        <w:tc>
          <w:tcPr>
            <w:tcW w:w="9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*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수면유도제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 diazepam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디아제팜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temazepam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테마제팜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1567D1" w:rsidRPr="001567D1" w:rsidTr="001567D1">
        <w:trPr>
          <w:trHeight w:val="348"/>
        </w:trPr>
        <w:tc>
          <w:tcPr>
            <w:tcW w:w="14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* 항생제: kanamycin (가나마이신), amikacin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아미카신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netilmicin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네틸마이신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streptomycin (스트렙토마이신), tobramycin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토브라마이신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clindamycin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클린다마이신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lincomycin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린코마이신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vancomycin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반코마이신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ampicillin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암피실린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sulfonamides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설폰아미드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azithromycin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아지스로마이신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erythromycin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에리스로마이신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clarithromycin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클라리스로마이신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),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pyrantal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pamoate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파모산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피란텔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doxycycline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독시사이클린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), imipenem-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cilastin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이미페넴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1567D1" w:rsidRPr="001567D1" w:rsidTr="001567D1">
        <w:trPr>
          <w:trHeight w:val="348"/>
        </w:trPr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* 요오드화 조영제 (영상 검사 시)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567D1" w:rsidRPr="001567D1" w:rsidTr="001567D1">
        <w:trPr>
          <w:trHeight w:val="34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* 니코틴 </w:t>
            </w:r>
            <w:proofErr w:type="spell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패취</w:t>
            </w:r>
            <w:proofErr w:type="spellEnd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567D1" w:rsidRPr="001567D1" w:rsidTr="001567D1">
        <w:trPr>
          <w:trHeight w:val="34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567D1" w:rsidRPr="001567D1" w:rsidTr="001567D1">
        <w:trPr>
          <w:trHeight w:val="348"/>
        </w:trPr>
        <w:tc>
          <w:tcPr>
            <w:tcW w:w="14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&lt; 상품명은 몇 가지만 예시로 들었습니다. 같은 성분이지만 다른 제약회사 제품으로 다양한 상품명이 더 존재할 수 있습니다</w:t>
            </w:r>
            <w:proofErr w:type="gramStart"/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.&gt;</w:t>
            </w:r>
            <w:proofErr w:type="gramEnd"/>
          </w:p>
        </w:tc>
      </w:tr>
      <w:tr w:rsidR="001567D1" w:rsidRPr="001567D1" w:rsidTr="001567D1">
        <w:trPr>
          <w:trHeight w:val="348"/>
        </w:trPr>
        <w:tc>
          <w:tcPr>
            <w:tcW w:w="14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7D1" w:rsidRPr="001567D1" w:rsidRDefault="001567D1" w:rsidP="00156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&lt;</w:t>
            </w: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highlight w:val="yellow"/>
              </w:rPr>
              <w:t>노란색으로 표시한 약물은 상대적으로 더 심각하고 더 흔한 부작용을 일으키는 약물들입니다</w:t>
            </w:r>
            <w:r w:rsidRPr="001567D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&gt;</w:t>
            </w:r>
          </w:p>
        </w:tc>
      </w:tr>
    </w:tbl>
    <w:p w:rsidR="00B709C1" w:rsidRPr="001567D1" w:rsidRDefault="00B709C1">
      <w:bookmarkStart w:id="0" w:name="_GoBack"/>
      <w:bookmarkEnd w:id="0"/>
    </w:p>
    <w:sectPr w:rsidR="00B709C1" w:rsidRPr="001567D1" w:rsidSect="001567D1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D1"/>
    <w:rsid w:val="001567D1"/>
    <w:rsid w:val="00B7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DAC3-ABBA-49C5-875A-969836B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준규</dc:creator>
  <cp:keywords/>
  <dc:description/>
  <cp:lastModifiedBy>한 준규</cp:lastModifiedBy>
  <cp:revision>1</cp:revision>
  <dcterms:created xsi:type="dcterms:W3CDTF">2018-08-14T11:34:00Z</dcterms:created>
  <dcterms:modified xsi:type="dcterms:W3CDTF">2018-08-14T11:42:00Z</dcterms:modified>
</cp:coreProperties>
</file>